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0625" w14:textId="420D9567" w:rsidR="00C81E5B" w:rsidRPr="00C81E5B" w:rsidRDefault="00C81E5B" w:rsidP="00C81E5B">
      <w:pPr>
        <w:spacing w:before="300" w:after="300" w:line="615" w:lineRule="atLeast"/>
        <w:outlineLvl w:val="0"/>
        <w:rPr>
          <w:rFonts w:ascii="Arial" w:eastAsia="Times New Roman" w:hAnsi="Arial" w:cs="Arial"/>
          <w:kern w:val="36"/>
          <w:sz w:val="54"/>
          <w:szCs w:val="54"/>
        </w:rPr>
      </w:pPr>
      <w:r w:rsidRPr="00C81E5B">
        <w:rPr>
          <w:rFonts w:ascii="Arial" w:eastAsia="Times New Roman" w:hAnsi="Arial" w:cs="Arial"/>
          <w:kern w:val="36"/>
          <w:sz w:val="54"/>
          <w:szCs w:val="54"/>
        </w:rPr>
        <w:t>The Order of Operator Precedence in Excel Formulas</w:t>
      </w:r>
    </w:p>
    <w:p w14:paraId="2B4ABF7D" w14:textId="1E295F19" w:rsid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It’s important to understand that when you create a formula with several operators, Excel evaluates and performs the calculation in a specific order. For instance, Excel always performs multiplication before addition. This order is called the </w:t>
      </w:r>
      <w:r w:rsidRPr="00C81E5B">
        <w:rPr>
          <w:rFonts w:ascii="Times New Roman" w:eastAsia="Times New Roman" w:hAnsi="Times New Roman" w:cs="Times New Roman"/>
          <w:i/>
          <w:iCs/>
          <w:color w:val="707070"/>
          <w:sz w:val="21"/>
          <w:szCs w:val="21"/>
        </w:rPr>
        <w:t>order of operator precedence</w:t>
      </w: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. You can force Excel to override the built-in operator precedence by using parentheses to specify which operation to evaluate first.</w:t>
      </w:r>
    </w:p>
    <w:p w14:paraId="06BDB288" w14:textId="1037A379" w:rsidR="00C81E5B" w:rsidRP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E5B"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C81E5B"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</w:t>
      </w:r>
      <w:r w:rsidRPr="00C81E5B"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81E5B">
        <w:rPr>
          <w:rFonts w:ascii="Times New Roman" w:eastAsia="Times New Roman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C81E5B">
        <w:rPr>
          <w:rFonts w:ascii="Times New Roman" w:eastAsia="Times New Roman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</w:t>
      </w:r>
      <w:r w:rsidRPr="00C81E5B">
        <w:rPr>
          <w:rFonts w:ascii="Times New Roman" w:eastAsia="Times New Roman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81E5B">
        <w:rPr>
          <w:rFonts w:ascii="Times New Roman" w:eastAsia="Times New Roman" w:hAnsi="Times New Roman" w:cs="Times New Roman"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C81E5B">
        <w:rPr>
          <w:rFonts w:ascii="Times New Roman" w:eastAsia="Times New Roman" w:hAnsi="Times New Roman" w:cs="Times New Roman"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</w:t>
      </w:r>
      <w:r w:rsidRPr="00C81E5B">
        <w:rPr>
          <w:rFonts w:ascii="Times New Roman" w:eastAsia="Times New Roman" w:hAnsi="Times New Roman" w:cs="Times New Roman"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81E5B"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L-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</w:t>
      </w:r>
      <w:r w:rsidRPr="00C81E5B"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&gt;R</w:t>
      </w:r>
    </w:p>
    <w:p w14:paraId="6DA0F699" w14:textId="77777777" w:rsidR="00C81E5B" w:rsidRP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Consider this basic example. The correct answer to (2+</w:t>
      </w:r>
      <w:proofErr w:type="gramStart"/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3)*</w:t>
      </w:r>
      <w:proofErr w:type="gramEnd"/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4 is 20. However, if you leave off the parentheses, as in 2+3*4, Excel performs the calculation like this: 3*4 = 12 + 2 = 14. Excel’s default order of operator precedence mandates that Excel perform multiplication before addition. Entering 2+3*4 gives you the wrong answer.</w:t>
      </w:r>
    </w:p>
    <w:p w14:paraId="532143C4" w14:textId="77777777" w:rsidR="00C81E5B" w:rsidRP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Because Excel evaluates and performs all calculations in parentheses first, placing 2+3 inside parentheses ensures the correct answer.</w:t>
      </w:r>
    </w:p>
    <w:p w14:paraId="3E319D88" w14:textId="77777777" w:rsidR="00C81E5B" w:rsidRP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The order of operations for Excel is as follows:</w:t>
      </w:r>
    </w:p>
    <w:p w14:paraId="10753064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 xml:space="preserve">Evaluate items in </w:t>
      </w: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  <w:highlight w:val="yellow"/>
        </w:rPr>
        <w:t>parentheses.</w:t>
      </w:r>
    </w:p>
    <w:p w14:paraId="7ACE38D4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Evaluate ranges (:).</w:t>
      </w:r>
    </w:p>
    <w:p w14:paraId="54670850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Evaluate intersections (spaces).</w:t>
      </w:r>
    </w:p>
    <w:p w14:paraId="0FB6C31A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Evaluate unions (,).</w:t>
      </w:r>
    </w:p>
    <w:p w14:paraId="71676E58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Perform negation (-).</w:t>
      </w:r>
    </w:p>
    <w:p w14:paraId="28012520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lastRenderedPageBreak/>
        <w:t>Convert percentages (%).</w:t>
      </w:r>
    </w:p>
    <w:p w14:paraId="4EF9F98B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 xml:space="preserve">Perform </w:t>
      </w: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  <w:highlight w:val="yellow"/>
        </w:rPr>
        <w:t>exponentiation (^).</w:t>
      </w:r>
    </w:p>
    <w:p w14:paraId="66E716D2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  <w:highlight w:val="yellow"/>
        </w:rPr>
        <w:t>Perform multiplication (*) and division (/), which are of equal precedence</w:t>
      </w: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.</w:t>
      </w:r>
    </w:p>
    <w:p w14:paraId="4A636183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  <w:highlight w:val="yellow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  <w:highlight w:val="yellow"/>
        </w:rPr>
        <w:t>Perform addition (+) and subtraction (-), which are of equal precedence.</w:t>
      </w:r>
    </w:p>
    <w:p w14:paraId="61A0B5A8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Evaluate text operators (&amp;).</w:t>
      </w:r>
    </w:p>
    <w:p w14:paraId="6D65CA6A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Perform comparisons (=, &lt;&gt;, &lt;=, &gt;=).</w:t>
      </w:r>
    </w:p>
    <w:p w14:paraId="75134349" w14:textId="77777777" w:rsidR="00C81E5B" w:rsidRPr="00C81E5B" w:rsidRDefault="00C81E5B" w:rsidP="00C81E5B">
      <w:pPr>
        <w:pBdr>
          <w:top w:val="single" w:sz="6" w:space="15" w:color="00DC32"/>
          <w:left w:val="single" w:sz="6" w:space="31" w:color="00DC32"/>
          <w:bottom w:val="single" w:sz="6" w:space="15" w:color="00DC32"/>
          <w:right w:val="single" w:sz="6" w:space="15" w:color="00DC32"/>
        </w:pBdr>
        <w:spacing w:before="600"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Operations that are equal in precedence are performed left to right.</w:t>
      </w:r>
    </w:p>
    <w:p w14:paraId="7F092E3E" w14:textId="77777777" w:rsidR="00C81E5B" w:rsidRP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 xml:space="preserve">Here is another widely demonstrated example. If you enter 10^2, which represents the exponent 10 to the 2nd power as a formula, Excel returns 100 as the answer. If you enter -10^2, you </w:t>
      </w:r>
      <w:proofErr w:type="gramStart"/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would expect</w:t>
      </w:r>
      <w:proofErr w:type="gramEnd"/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 xml:space="preserve"> –100 to be the result. Instead, Excel returns 100 yet again.</w:t>
      </w:r>
    </w:p>
    <w:p w14:paraId="1E4001ED" w14:textId="77777777" w:rsidR="00C81E5B" w:rsidRP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The reason is that Excel performs negation before exponentiation, meaning that Excel is converting 10 to –10 before the exponentiation, effectively calculating –10*–10, which indeed equals 100. Using parentheses in the formula -(10^2) ensures that Excel calculates the exponent before negating the answer, giving you –100.</w:t>
      </w:r>
    </w:p>
    <w:p w14:paraId="14975902" w14:textId="6A522396" w:rsidR="00560896" w:rsidRPr="00C81E5B" w:rsidRDefault="00C81E5B" w:rsidP="00C81E5B">
      <w:pPr>
        <w:pBdr>
          <w:top w:val="single" w:sz="6" w:space="15" w:color="00A0FF"/>
          <w:left w:val="single" w:sz="6" w:space="31" w:color="00A0FF"/>
          <w:bottom w:val="single" w:sz="6" w:space="15" w:color="00A0FF"/>
          <w:right w:val="single" w:sz="6" w:space="15" w:color="00A0FF"/>
        </w:pBdr>
        <w:spacing w:before="600"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Remembering the order of operations and using parentheses where appropriate will ensure that you avoid miscalculating your data.</w:t>
      </w:r>
    </w:p>
    <w:sectPr w:rsidR="00560896" w:rsidRPr="00C8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B7045"/>
    <w:multiLevelType w:val="multilevel"/>
    <w:tmpl w:val="AC58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C74BA"/>
    <w:multiLevelType w:val="multilevel"/>
    <w:tmpl w:val="AE1A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5B"/>
    <w:rsid w:val="00280D53"/>
    <w:rsid w:val="00371CD3"/>
    <w:rsid w:val="00560896"/>
    <w:rsid w:val="00C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4BCA"/>
  <w15:chartTrackingRefBased/>
  <w15:docId w15:val="{CF5F92E6-1F1D-4634-9422-F9D8A9C4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81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E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81E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81E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para">
    <w:name w:val="first-para"/>
    <w:basedOn w:val="Normal"/>
    <w:rsid w:val="00C8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ember">
    <w:name w:val="remember"/>
    <w:basedOn w:val="Normal"/>
    <w:rsid w:val="00C8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">
    <w:name w:val="tip"/>
    <w:basedOn w:val="Normal"/>
    <w:rsid w:val="00C8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4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principe</dc:creator>
  <cp:keywords/>
  <dc:description/>
  <cp:lastModifiedBy>bobbi principe</cp:lastModifiedBy>
  <cp:revision>1</cp:revision>
  <dcterms:created xsi:type="dcterms:W3CDTF">2021-11-18T17:18:00Z</dcterms:created>
  <dcterms:modified xsi:type="dcterms:W3CDTF">2021-11-18T17:22:00Z</dcterms:modified>
</cp:coreProperties>
</file>